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CE81" w14:textId="723A37F8" w:rsidR="00A524C3" w:rsidRPr="00A524C3" w:rsidRDefault="00A524C3" w:rsidP="00347D56">
      <w:pPr>
        <w:rPr>
          <w:spacing w:val="-8"/>
          <w:szCs w:val="18"/>
        </w:rPr>
      </w:pPr>
      <w:r w:rsidRPr="00A524C3">
        <w:rPr>
          <w:rFonts w:hint="eastAsia"/>
          <w:spacing w:val="-8"/>
          <w:sz w:val="21"/>
          <w:szCs w:val="21"/>
        </w:rPr>
        <w:t>別記様式５－１</w:t>
      </w:r>
      <w:r w:rsidR="00347D56" w:rsidRPr="00045053">
        <w:rPr>
          <w:rFonts w:hint="eastAsia"/>
          <w:spacing w:val="-8"/>
          <w:sz w:val="21"/>
          <w:szCs w:val="21"/>
        </w:rPr>
        <w:t>７</w:t>
      </w:r>
    </w:p>
    <w:p w14:paraId="1E6BEBE7"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t>梅　　毒　　発　　生　　届</w:t>
      </w:r>
    </w:p>
    <w:p w14:paraId="2D45C9DF" w14:textId="77777777" w:rsidR="00A524C3" w:rsidRPr="00A524C3" w:rsidRDefault="00A524C3" w:rsidP="00A524C3">
      <w:pPr>
        <w:rPr>
          <w:spacing w:val="-8"/>
          <w:szCs w:val="18"/>
        </w:rPr>
      </w:pPr>
    </w:p>
    <w:p w14:paraId="695E3864" w14:textId="77777777" w:rsidR="00A524C3" w:rsidRPr="00A524C3" w:rsidRDefault="00A524C3" w:rsidP="00A524C3">
      <w:pPr>
        <w:rPr>
          <w:spacing w:val="-8"/>
          <w:sz w:val="24"/>
          <w:szCs w:val="18"/>
        </w:rPr>
      </w:pPr>
      <w:r w:rsidRPr="00A524C3">
        <w:rPr>
          <w:rFonts w:hint="eastAsia"/>
          <w:spacing w:val="-8"/>
          <w:sz w:val="24"/>
          <w:szCs w:val="18"/>
        </w:rPr>
        <w:t>都道府県知事（保健所設置市長・特別区長）　殿</w:t>
      </w:r>
    </w:p>
    <w:p w14:paraId="5EA64000" w14:textId="77777777" w:rsidR="00A524C3" w:rsidRPr="00A524C3" w:rsidRDefault="00A524C3" w:rsidP="00A524C3">
      <w:pPr>
        <w:rPr>
          <w:spacing w:val="-8"/>
          <w:szCs w:val="18"/>
        </w:rPr>
      </w:pPr>
    </w:p>
    <w:p w14:paraId="2AF21A84"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24EFFD9E"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25E14AB3"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4EFB86A0"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22687A8C"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1D321F35"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26E3FFA2"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p w14:paraId="13D2B95A" w14:textId="77777777" w:rsidR="00A524C3" w:rsidRPr="00A524C3" w:rsidRDefault="00A524C3" w:rsidP="00A524C3">
      <w:pPr>
        <w:jc w:val="right"/>
        <w:rPr>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04E3CAF0" w14:textId="77777777" w:rsidTr="008E08F7">
        <w:trPr>
          <w:trHeight w:val="165"/>
        </w:trPr>
        <w:tc>
          <w:tcPr>
            <w:tcW w:w="5148" w:type="dxa"/>
            <w:gridSpan w:val="3"/>
          </w:tcPr>
          <w:p w14:paraId="161D80D3"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700E3047" w14:textId="77777777" w:rsidTr="008E08F7">
        <w:trPr>
          <w:trHeight w:val="268"/>
        </w:trPr>
        <w:tc>
          <w:tcPr>
            <w:tcW w:w="5148" w:type="dxa"/>
            <w:gridSpan w:val="3"/>
          </w:tcPr>
          <w:p w14:paraId="31ED1A1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3FAAA29D" w14:textId="77777777" w:rsidTr="008E08F7">
        <w:trPr>
          <w:gridAfter w:val="1"/>
          <w:wAfter w:w="416" w:type="dxa"/>
          <w:trHeight w:val="184"/>
        </w:trPr>
        <w:tc>
          <w:tcPr>
            <w:tcW w:w="1920" w:type="dxa"/>
          </w:tcPr>
          <w:p w14:paraId="6B5F0AC7"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382D5F37"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278CE6CB" w14:textId="77777777" w:rsidTr="008E08F7">
        <w:trPr>
          <w:gridAfter w:val="1"/>
          <w:wAfter w:w="416" w:type="dxa"/>
          <w:trHeight w:val="259"/>
        </w:trPr>
        <w:tc>
          <w:tcPr>
            <w:tcW w:w="1920" w:type="dxa"/>
          </w:tcPr>
          <w:p w14:paraId="102D2E84"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305E2A6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637EB084"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689"/>
        <w:gridCol w:w="4784"/>
      </w:tblGrid>
      <w:tr w:rsidR="00A524C3" w:rsidRPr="00A524C3" w14:paraId="4213EEA3" w14:textId="77777777" w:rsidTr="008E08F7">
        <w:trPr>
          <w:trHeight w:val="220"/>
        </w:trPr>
        <w:tc>
          <w:tcPr>
            <w:tcW w:w="5070" w:type="dxa"/>
            <w:gridSpan w:val="2"/>
          </w:tcPr>
          <w:p w14:paraId="0E46AFB1"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tcPr>
          <w:p w14:paraId="48CED6D1"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4BD4270F" w14:textId="77777777" w:rsidTr="008E08F7">
        <w:trPr>
          <w:trHeight w:val="535"/>
        </w:trPr>
        <w:tc>
          <w:tcPr>
            <w:tcW w:w="5070" w:type="dxa"/>
            <w:gridSpan w:val="2"/>
          </w:tcPr>
          <w:p w14:paraId="11B6AD79" w14:textId="77777777" w:rsidR="00A524C3" w:rsidRPr="00A524C3" w:rsidRDefault="00A524C3" w:rsidP="00A524C3">
            <w:pPr>
              <w:rPr>
                <w:spacing w:val="-8"/>
                <w:szCs w:val="18"/>
              </w:rPr>
            </w:pPr>
            <w:r w:rsidRPr="00A524C3">
              <w:rPr>
                <w:rFonts w:hint="eastAsia"/>
                <w:spacing w:val="-8"/>
                <w:szCs w:val="18"/>
              </w:rPr>
              <w:t>①　病型</w:t>
            </w:r>
          </w:p>
          <w:p w14:paraId="2829AEA9"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621E499B"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3EFAB2B3" w14:textId="77777777" w:rsidR="00A524C3" w:rsidRPr="00A524C3" w:rsidRDefault="00A524C3" w:rsidP="00A524C3">
            <w:pPr>
              <w:rPr>
                <w:spacing w:val="-8"/>
                <w:szCs w:val="18"/>
              </w:rPr>
            </w:pPr>
            <w:r w:rsidRPr="00A524C3">
              <w:rPr>
                <w:rFonts w:hint="eastAsia"/>
                <w:spacing w:val="-8"/>
                <w:szCs w:val="18"/>
              </w:rPr>
              <w:t>②　ＨＩＶ感染症合併の有無</w:t>
            </w:r>
          </w:p>
          <w:p w14:paraId="32A64C61"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tcPr>
          <w:p w14:paraId="30CCE66D"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3FB0BE7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7A8881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61DEC447"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3A1CD1B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7EA5AE2B"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3517A846"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679F5A9F"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676473C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3B9A5D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541B9360"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F1B027"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12FF9FB0"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739DDC68"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0A1D67D6" w14:textId="77777777" w:rsidR="00A524C3" w:rsidRPr="00A524C3" w:rsidRDefault="00A524C3" w:rsidP="00A524C3">
            <w:pPr>
              <w:ind w:leftChars="100" w:left="180"/>
              <w:rPr>
                <w:spacing w:val="-8"/>
                <w:szCs w:val="18"/>
              </w:rPr>
            </w:pPr>
            <w:r w:rsidRPr="00A524C3">
              <w:rPr>
                <w:rFonts w:hint="eastAsia"/>
                <w:spacing w:val="-8"/>
                <w:szCs w:val="18"/>
              </w:rPr>
              <w:t>６　不明</w:t>
            </w:r>
          </w:p>
          <w:p w14:paraId="25253F81" w14:textId="77777777" w:rsidR="00A524C3" w:rsidRPr="00A524C3" w:rsidRDefault="00A524C3" w:rsidP="00A524C3">
            <w:pPr>
              <w:ind w:left="508" w:hangingChars="310" w:hanging="508"/>
              <w:rPr>
                <w:spacing w:val="-8"/>
                <w:szCs w:val="18"/>
              </w:rPr>
            </w:pPr>
          </w:p>
          <w:p w14:paraId="21020BA3"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66852289" w14:textId="77777777" w:rsidR="00A524C3" w:rsidRPr="00A524C3" w:rsidRDefault="00000000" w:rsidP="00A524C3">
            <w:pPr>
              <w:ind w:leftChars="100" w:left="558" w:hangingChars="210" w:hanging="378"/>
              <w:rPr>
                <w:spacing w:val="-8"/>
                <w:szCs w:val="18"/>
              </w:rPr>
            </w:pPr>
            <w:r>
              <w:rPr>
                <w:noProof/>
                <w:spacing w:val="-8"/>
                <w:szCs w:val="18"/>
                <w:u w:val="single"/>
              </w:rPr>
              <w:pict w14:anchorId="32C09DE9">
                <v:shapetype id="_x0000_t202" coordsize="21600,21600" o:spt="202" path="m,l,21600r21600,l21600,xe">
                  <v:stroke joinstyle="miter"/>
                  <v:path gradientshapeok="t" o:connecttype="rect"/>
                </v:shapetype>
                <v:shape id="_x0000_s2545" type="#_x0000_t202" style="position:absolute;left:0;text-align:left;margin-left:243.3pt;margin-top:9.8pt;width:27pt;height:198.35pt;z-index:1">
                  <v:textbox style="layout-flow:vertical-ideographic;mso-next-textbox:#_x0000_s2545">
                    <w:txbxContent>
                      <w:p w14:paraId="2330DBF9" w14:textId="77777777" w:rsidR="00621AC4" w:rsidRDefault="00621AC4" w:rsidP="00A524C3">
                        <w:r>
                          <w:rPr>
                            <w:rFonts w:hint="eastAsia"/>
                          </w:rPr>
                          <w:t>この届出は診断から７日以内に行ってください</w:t>
                        </w:r>
                      </w:p>
                    </w:txbxContent>
                  </v:textbox>
                </v:shape>
              </w:pict>
            </w:r>
            <w:r w:rsidR="00A524C3" w:rsidRPr="00A524C3">
              <w:rPr>
                <w:rFonts w:hint="eastAsia"/>
                <w:spacing w:val="-8"/>
                <w:szCs w:val="18"/>
              </w:rPr>
              <w:t>１　日本国内（　　　　　都道府県　　　　市区町村）</w:t>
            </w:r>
          </w:p>
          <w:p w14:paraId="1C8AD610"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1542D3B2"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3FC009C3"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5435D39" w14:textId="77777777" w:rsidR="00A524C3" w:rsidRPr="00A524C3" w:rsidRDefault="00A524C3" w:rsidP="00A524C3">
            <w:pPr>
              <w:ind w:leftChars="100" w:left="180"/>
              <w:rPr>
                <w:spacing w:val="-8"/>
                <w:szCs w:val="18"/>
              </w:rPr>
            </w:pPr>
            <w:r w:rsidRPr="00A524C3">
              <w:rPr>
                <w:rFonts w:hint="eastAsia"/>
                <w:spacing w:val="-8"/>
                <w:szCs w:val="18"/>
              </w:rPr>
              <w:t>３　不明</w:t>
            </w:r>
          </w:p>
          <w:p w14:paraId="445C3650" w14:textId="77777777" w:rsidR="00A524C3" w:rsidRPr="00A524C3" w:rsidRDefault="00A524C3" w:rsidP="00A524C3">
            <w:pPr>
              <w:ind w:leftChars="100" w:left="180"/>
              <w:rPr>
                <w:spacing w:val="-8"/>
                <w:szCs w:val="18"/>
              </w:rPr>
            </w:pPr>
          </w:p>
          <w:p w14:paraId="209C7667" w14:textId="77777777" w:rsidR="00A524C3" w:rsidRPr="00A524C3" w:rsidRDefault="00A524C3" w:rsidP="00A524C3">
            <w:pPr>
              <w:rPr>
                <w:spacing w:val="-8"/>
                <w:szCs w:val="18"/>
              </w:rPr>
            </w:pPr>
            <w:r w:rsidRPr="00A524C3">
              <w:rPr>
                <w:rFonts w:hint="eastAsia"/>
                <w:spacing w:val="-8"/>
                <w:szCs w:val="18"/>
              </w:rPr>
              <w:t>③ 過去の治療歴</w:t>
            </w:r>
          </w:p>
          <w:p w14:paraId="2D771101"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ABEFE81" w14:textId="77777777" w:rsidTr="008E08F7">
        <w:trPr>
          <w:trHeight w:val="1819"/>
        </w:trPr>
        <w:tc>
          <w:tcPr>
            <w:tcW w:w="381" w:type="dxa"/>
            <w:tcBorders>
              <w:bottom w:val="single" w:sz="4" w:space="0" w:color="auto"/>
            </w:tcBorders>
          </w:tcPr>
          <w:p w14:paraId="24EB402B" w14:textId="77777777" w:rsidR="00A524C3" w:rsidRPr="00A524C3" w:rsidRDefault="00A524C3" w:rsidP="00A524C3">
            <w:pPr>
              <w:tabs>
                <w:tab w:val="left" w:pos="840"/>
                <w:tab w:val="center" w:pos="4252"/>
                <w:tab w:val="right" w:pos="8504"/>
              </w:tabs>
              <w:jc w:val="center"/>
              <w:rPr>
                <w:spacing w:val="-8"/>
                <w:szCs w:val="18"/>
              </w:rPr>
            </w:pPr>
          </w:p>
          <w:p w14:paraId="700983A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380D0CFD" w14:textId="77777777" w:rsidR="00A524C3" w:rsidRPr="00A524C3" w:rsidRDefault="00A524C3" w:rsidP="00A524C3">
            <w:pPr>
              <w:tabs>
                <w:tab w:val="left" w:pos="840"/>
                <w:tab w:val="center" w:pos="4252"/>
                <w:tab w:val="right" w:pos="8504"/>
              </w:tabs>
              <w:jc w:val="center"/>
              <w:rPr>
                <w:spacing w:val="-8"/>
                <w:szCs w:val="18"/>
              </w:rPr>
            </w:pPr>
          </w:p>
          <w:p w14:paraId="67B8260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1E984F90" w14:textId="77777777" w:rsidR="00A524C3" w:rsidRPr="00A524C3" w:rsidRDefault="00A524C3" w:rsidP="00A524C3">
            <w:pPr>
              <w:tabs>
                <w:tab w:val="left" w:pos="840"/>
                <w:tab w:val="center" w:pos="4252"/>
                <w:tab w:val="right" w:pos="8504"/>
              </w:tabs>
              <w:jc w:val="center"/>
              <w:rPr>
                <w:spacing w:val="-8"/>
                <w:szCs w:val="18"/>
              </w:rPr>
            </w:pPr>
          </w:p>
          <w:p w14:paraId="5430F970"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75DE2B61" w14:textId="77777777" w:rsidR="00A524C3" w:rsidRPr="00A524C3" w:rsidRDefault="00A524C3" w:rsidP="00A524C3">
            <w:pPr>
              <w:rPr>
                <w:spacing w:val="-8"/>
                <w:szCs w:val="21"/>
              </w:rPr>
            </w:pPr>
          </w:p>
        </w:tc>
        <w:tc>
          <w:tcPr>
            <w:tcW w:w="4689" w:type="dxa"/>
            <w:tcBorders>
              <w:bottom w:val="single" w:sz="4" w:space="0" w:color="auto"/>
            </w:tcBorders>
          </w:tcPr>
          <w:p w14:paraId="6733257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30304DF9"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482C0ED7"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5D422F96"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4F287365"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5DDFC4BA"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6C8B0802" w14:textId="77777777" w:rsidR="00A524C3" w:rsidRPr="00A524C3" w:rsidRDefault="00A524C3" w:rsidP="00A524C3">
            <w:pPr>
              <w:rPr>
                <w:spacing w:val="-8"/>
                <w:szCs w:val="18"/>
              </w:rPr>
            </w:pPr>
            <w:r w:rsidRPr="00A524C3">
              <w:rPr>
                <w:rFonts w:hint="eastAsia"/>
                <w:spacing w:val="-8"/>
                <w:szCs w:val="18"/>
              </w:rPr>
              <w:t>・Hutchinson歯　・その他（　　　　　　　　　）</w:t>
            </w:r>
          </w:p>
          <w:p w14:paraId="2CBF18E8" w14:textId="77777777" w:rsidR="00A524C3" w:rsidRPr="00A524C3" w:rsidRDefault="00A524C3" w:rsidP="00A524C3">
            <w:pPr>
              <w:rPr>
                <w:spacing w:val="-8"/>
                <w:szCs w:val="18"/>
              </w:rPr>
            </w:pPr>
            <w:r w:rsidRPr="00A524C3">
              <w:rPr>
                <w:rFonts w:hint="eastAsia"/>
                <w:spacing w:val="-8"/>
                <w:szCs w:val="18"/>
              </w:rPr>
              <w:t>・なし</w:t>
            </w:r>
          </w:p>
        </w:tc>
        <w:tc>
          <w:tcPr>
            <w:tcW w:w="4784" w:type="dxa"/>
            <w:vMerge/>
          </w:tcPr>
          <w:p w14:paraId="3A2B5094" w14:textId="77777777" w:rsidR="00A524C3" w:rsidRPr="00A524C3" w:rsidRDefault="00A524C3" w:rsidP="00A524C3">
            <w:pPr>
              <w:rPr>
                <w:spacing w:val="-8"/>
                <w:szCs w:val="18"/>
              </w:rPr>
            </w:pPr>
          </w:p>
        </w:tc>
      </w:tr>
      <w:tr w:rsidR="00A524C3" w:rsidRPr="00A524C3" w14:paraId="3221249D" w14:textId="77777777" w:rsidTr="008E08F7">
        <w:trPr>
          <w:trHeight w:val="3100"/>
        </w:trPr>
        <w:tc>
          <w:tcPr>
            <w:tcW w:w="381" w:type="dxa"/>
            <w:vMerge w:val="restart"/>
          </w:tcPr>
          <w:p w14:paraId="7C36724D" w14:textId="77777777" w:rsidR="00A524C3" w:rsidRPr="00A524C3" w:rsidRDefault="00A524C3" w:rsidP="00A524C3">
            <w:pPr>
              <w:tabs>
                <w:tab w:val="center" w:pos="4252"/>
                <w:tab w:val="right" w:pos="8504"/>
              </w:tabs>
              <w:snapToGrid w:val="0"/>
              <w:jc w:val="center"/>
              <w:rPr>
                <w:spacing w:val="-8"/>
                <w:szCs w:val="18"/>
              </w:rPr>
            </w:pPr>
          </w:p>
          <w:p w14:paraId="4FCBF333"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5E3DD5D9" w14:textId="77777777" w:rsidR="00A524C3" w:rsidRPr="00A524C3" w:rsidRDefault="00A524C3" w:rsidP="00A524C3">
            <w:pPr>
              <w:tabs>
                <w:tab w:val="center" w:pos="4252"/>
                <w:tab w:val="right" w:pos="8504"/>
              </w:tabs>
              <w:snapToGrid w:val="0"/>
              <w:jc w:val="center"/>
              <w:rPr>
                <w:spacing w:val="-8"/>
                <w:szCs w:val="18"/>
              </w:rPr>
            </w:pPr>
          </w:p>
          <w:p w14:paraId="0541DC5F"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tcPr>
          <w:p w14:paraId="4AAFE9A0" w14:textId="77777777" w:rsidR="00A524C3" w:rsidRPr="00A524C3" w:rsidRDefault="00A524C3" w:rsidP="00A524C3">
            <w:pPr>
              <w:rPr>
                <w:spacing w:val="-8"/>
                <w:szCs w:val="18"/>
              </w:rPr>
            </w:pPr>
            <w:r w:rsidRPr="00A524C3">
              <w:rPr>
                <w:rFonts w:hint="eastAsia"/>
                <w:spacing w:val="-8"/>
                <w:szCs w:val="18"/>
              </w:rPr>
              <w:t>① 患者（確定例）の場合</w:t>
            </w:r>
          </w:p>
          <w:p w14:paraId="59A2730B"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4824579E"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5423472"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7E2D068"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361FB33" w14:textId="77777777" w:rsidR="00A524C3" w:rsidRPr="00A524C3" w:rsidRDefault="00A524C3" w:rsidP="00A524C3">
            <w:pPr>
              <w:rPr>
                <w:spacing w:val="-8"/>
                <w:szCs w:val="18"/>
              </w:rPr>
            </w:pPr>
            <w:r w:rsidRPr="00A524C3">
              <w:rPr>
                <w:rFonts w:hint="eastAsia"/>
                <w:spacing w:val="-8"/>
                <w:szCs w:val="18"/>
              </w:rPr>
              <w:t>② 無症状病原体保有者の場合</w:t>
            </w:r>
          </w:p>
          <w:p w14:paraId="40EEB010"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1FE53C2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3841F5BE"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557D55BC"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444EF3B9"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23E8E5A9" w14:textId="77777777" w:rsidR="00A524C3" w:rsidRPr="00A524C3" w:rsidRDefault="00A524C3" w:rsidP="00A524C3">
            <w:pPr>
              <w:rPr>
                <w:spacing w:val="-8"/>
                <w:szCs w:val="18"/>
              </w:rPr>
            </w:pPr>
          </w:p>
          <w:p w14:paraId="38BF5BFD" w14:textId="77777777" w:rsidR="00A524C3" w:rsidRPr="00A524C3" w:rsidRDefault="00A524C3" w:rsidP="00A524C3">
            <w:pPr>
              <w:rPr>
                <w:spacing w:val="-8"/>
                <w:szCs w:val="18"/>
              </w:rPr>
            </w:pPr>
            <w:r w:rsidRPr="00A524C3">
              <w:rPr>
                <w:rFonts w:hint="eastAsia"/>
                <w:spacing w:val="-8"/>
                <w:szCs w:val="18"/>
              </w:rPr>
              <w:t>・その他の検査方法（　　　　　　　　　　　　　　）</w:t>
            </w:r>
          </w:p>
          <w:p w14:paraId="2038B95A"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3B2B6D44"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tcPr>
          <w:p w14:paraId="0C0B8CB1"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41E0BA39" w14:textId="77777777" w:rsidTr="008E08F7">
        <w:trPr>
          <w:trHeight w:val="559"/>
        </w:trPr>
        <w:tc>
          <w:tcPr>
            <w:tcW w:w="381" w:type="dxa"/>
            <w:vMerge/>
          </w:tcPr>
          <w:p w14:paraId="3C866B5C"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BD1777A"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tcPr>
          <w:p w14:paraId="7DE128A2"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23A21C7F" w14:textId="77777777" w:rsidTr="008E08F7">
        <w:trPr>
          <w:trHeight w:val="233"/>
        </w:trPr>
        <w:tc>
          <w:tcPr>
            <w:tcW w:w="381" w:type="dxa"/>
            <w:vMerge/>
          </w:tcPr>
          <w:p w14:paraId="655501C9"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9325723" w14:textId="77777777" w:rsidR="00A524C3" w:rsidRPr="00A524C3" w:rsidRDefault="00A524C3" w:rsidP="00A524C3">
            <w:pPr>
              <w:rPr>
                <w:spacing w:val="-8"/>
                <w:szCs w:val="18"/>
              </w:rPr>
            </w:pPr>
          </w:p>
        </w:tc>
        <w:tc>
          <w:tcPr>
            <w:tcW w:w="4784" w:type="dxa"/>
            <w:vMerge w:val="restart"/>
            <w:tcBorders>
              <w:top w:val="single" w:sz="4" w:space="0" w:color="auto"/>
            </w:tcBorders>
          </w:tcPr>
          <w:p w14:paraId="6B458865" w14:textId="77777777" w:rsidR="00A524C3" w:rsidRPr="00A524C3" w:rsidRDefault="00A524C3" w:rsidP="00A524C3">
            <w:pPr>
              <w:rPr>
                <w:spacing w:val="-8"/>
                <w:szCs w:val="18"/>
              </w:rPr>
            </w:pPr>
            <w:r w:rsidRPr="00A524C3">
              <w:rPr>
                <w:rFonts w:hint="eastAsia"/>
                <w:spacing w:val="-8"/>
                <w:szCs w:val="18"/>
              </w:rPr>
              <w:t>・ 妊娠の有無</w:t>
            </w:r>
          </w:p>
          <w:p w14:paraId="658E6ABF"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58F09905" w14:textId="77777777" w:rsidTr="008E08F7">
        <w:trPr>
          <w:trHeight w:val="1262"/>
        </w:trPr>
        <w:tc>
          <w:tcPr>
            <w:tcW w:w="5070" w:type="dxa"/>
            <w:gridSpan w:val="2"/>
            <w:tcBorders>
              <w:bottom w:val="single" w:sz="4" w:space="0" w:color="auto"/>
            </w:tcBorders>
          </w:tcPr>
          <w:p w14:paraId="1D2BF853"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3AE246DE"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15C58DC4"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56DC46E2"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5B982C29"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tcPr>
          <w:p w14:paraId="77E2F57C"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212B4224"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13951315"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5909C25A"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21CCD4C0" w14:textId="45BD8D97" w:rsidR="00B63C52" w:rsidRDefault="00A524C3" w:rsidP="00CD0140">
      <w:pPr>
        <w:ind w:leftChars="100" w:left="180"/>
        <w:rPr>
          <w:sz w:val="21"/>
          <w:szCs w:val="21"/>
        </w:rPr>
      </w:pPr>
      <w:r w:rsidRPr="00A524C3">
        <w:rPr>
          <w:rFonts w:hint="eastAsia"/>
          <w:spacing w:val="-8"/>
          <w:szCs w:val="18"/>
        </w:rPr>
        <w:t>4,5欄は、該当するものすべてを記載すること。）</w:t>
      </w:r>
      <w:r w:rsidR="00CD0140" w:rsidRPr="00C22D81">
        <w:t xml:space="preserve"> </w:t>
      </w:r>
    </w:p>
    <w:sectPr w:rsidR="00B63C52" w:rsidSect="007B4722">
      <w:footerReference w:type="even" r:id="rId11"/>
      <w:footerReference w:type="default" r:id="rId1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4056" w14:textId="77777777" w:rsidR="004A06EC" w:rsidRDefault="004A06EC">
      <w:r>
        <w:separator/>
      </w:r>
    </w:p>
  </w:endnote>
  <w:endnote w:type="continuationSeparator" w:id="0">
    <w:p w14:paraId="084829E0" w14:textId="77777777" w:rsidR="004A06EC" w:rsidRDefault="004A06EC">
      <w:r>
        <w:continuationSeparator/>
      </w:r>
    </w:p>
  </w:endnote>
  <w:endnote w:type="continuationNotice" w:id="1">
    <w:p w14:paraId="36A56602" w14:textId="77777777" w:rsidR="004A06EC" w:rsidRDefault="004A0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196D7F7A"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B2D57">
      <w:rPr>
        <w:rStyle w:val="a6"/>
        <w:noProof/>
      </w:rPr>
      <w:t>1</w:t>
    </w:r>
    <w:r>
      <w:rPr>
        <w:rStyle w:val="a6"/>
      </w:rPr>
      <w:fldChar w:fldCharType="end"/>
    </w:r>
  </w:p>
  <w:p w14:paraId="23ACEA47"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758C" w14:textId="77777777" w:rsidR="004A06EC" w:rsidRDefault="004A06EC">
      <w:r>
        <w:separator/>
      </w:r>
    </w:p>
  </w:footnote>
  <w:footnote w:type="continuationSeparator" w:id="0">
    <w:p w14:paraId="6A62F060" w14:textId="77777777" w:rsidR="004A06EC" w:rsidRDefault="004A06EC">
      <w:r>
        <w:continuationSeparator/>
      </w:r>
    </w:p>
  </w:footnote>
  <w:footnote w:type="continuationNotice" w:id="1">
    <w:p w14:paraId="24575D2F" w14:textId="77777777" w:rsidR="004A06EC" w:rsidRDefault="004A06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54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704B"/>
    <w:rsid w:val="00000FB2"/>
    <w:rsid w:val="00001E03"/>
    <w:rsid w:val="0000246D"/>
    <w:rsid w:val="00010031"/>
    <w:rsid w:val="00013E76"/>
    <w:rsid w:val="000172C9"/>
    <w:rsid w:val="00017F11"/>
    <w:rsid w:val="00021C99"/>
    <w:rsid w:val="0002279B"/>
    <w:rsid w:val="00022841"/>
    <w:rsid w:val="00022B45"/>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0B3"/>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06EC"/>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D57"/>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05F0C"/>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140"/>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571F"/>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6">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customXml/itemProps2.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4.xml><?xml version="1.0" encoding="utf-8"?>
<ds:datastoreItem xmlns:ds="http://schemas.openxmlformats.org/officeDocument/2006/customXml" ds:itemID="{C749298E-D296-484C-AB12-6AA9A7989784}">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2026-04-01T04:29:00Z</dcterms:created>
  <dcterms:modified xsi:type="dcterms:W3CDTF">2026-04-01T04:29:00Z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